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28"/>
          <w:szCs w:val="28"/>
        </w:rPr>
      </w:pPr>
      <w:r>
        <w:rPr>
          <w:rFonts w:hint="eastAsia" w:ascii="宋体" w:hAnsi="宋体" w:eastAsia="宋体"/>
          <w:b/>
          <w:sz w:val="28"/>
          <w:szCs w:val="28"/>
        </w:rPr>
        <w:t>房建表B5  悬挑式脚手架评价评分表</w:t>
      </w:r>
    </w:p>
    <w:tbl>
      <w:tblPr>
        <w:tblStyle w:val="15"/>
        <w:tblW w:w="864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059"/>
        <w:gridCol w:w="4995"/>
        <w:gridCol w:w="1023"/>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序号</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评价指标</w:t>
            </w:r>
          </w:p>
        </w:tc>
        <w:tc>
          <w:tcPr>
            <w:tcW w:w="4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标准要求</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w:t>
            </w:r>
          </w:p>
        </w:tc>
        <w:tc>
          <w:tcPr>
            <w:tcW w:w="1059" w:type="dxa"/>
            <w:vMerge w:val="restart"/>
            <w:tcBorders>
              <w:top w:val="nil"/>
              <w:left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控制项</w:t>
            </w:r>
          </w:p>
        </w:tc>
        <w:tc>
          <w:tcPr>
            <w:tcW w:w="499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存在严重缺陷；超过一定规模应组织专家论证</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危大工程验收合格后才能进行下一道工序</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悬挑钢梁截面高度应按设计确定，载面形式符合设计和规范要求</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在架体外侧设置连续式剪刀撑</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对支撑脚手架的工程结构和所附着的工程结构应进行强度和变形验算，验算不能满足安全承载要求时，应采取相应的加固措施；</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架体与建筑结构拉结应符合规范及方案要求；</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脚手架施工荷载不超过设计规定</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作业层与建筑物之间进行封闭</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bCs/>
                <w:kern w:val="2"/>
                <w:sz w:val="21"/>
                <w:szCs w:val="21"/>
                <w:highlight w:val="none"/>
                <w:lang w:val="en-US" w:eastAsia="zh-CN" w:bidi="ar-SA"/>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highlight w:val="none"/>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cs="宋体"/>
                <w:color w:val="000000"/>
                <w:kern w:val="0"/>
                <w:sz w:val="21"/>
                <w:szCs w:val="21"/>
                <w:highlight w:val="none"/>
                <w:lang w:val="en-US" w:eastAsia="zh" w:bidi="ar"/>
              </w:rPr>
              <w:t>严禁将支撑脚手架、缆风绳、混凝土输送泵管、卸料平台及大型设备的支承件等固定在作业脚手架上。严禁在作业脚手架上悬挂起重设备</w:t>
            </w:r>
            <w:r>
              <w:rPr>
                <w:rFonts w:hint="eastAsia" w:ascii="宋体" w:hAnsi="宋体" w:eastAsia="宋体" w:cs="宋体"/>
                <w:color w:val="000000"/>
                <w:kern w:val="0"/>
                <w:sz w:val="21"/>
                <w:szCs w:val="21"/>
                <w:highlight w:val="none"/>
                <w:lang w:val="en-US" w:eastAsia="zh-CN" w:bidi="ar"/>
              </w:rPr>
              <w:t>。</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highlight w:val="none"/>
              </w:rPr>
            </w:pPr>
            <w:r>
              <w:rPr>
                <w:rFonts w:hint="eastAsia" w:ascii="宋体" w:hAnsi="宋体" w:eastAsia="宋体"/>
                <w:bCs/>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架体分段搭设分段使用应办理分段验收；架体搭设完毕应办理验收手续</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型钢、钢管、构配件不存在弯曲、变形、锈蚀严重情况</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特种作业人员应持证上岗</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13"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序号</w:t>
            </w:r>
          </w:p>
        </w:tc>
        <w:tc>
          <w:tcPr>
            <w:tcW w:w="1059"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评分项目</w:t>
            </w:r>
          </w:p>
        </w:tc>
        <w:tc>
          <w:tcPr>
            <w:tcW w:w="4995"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扣分标准</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13"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59"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4995"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应得分</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架体基础</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未按规范要求设置纵、横向扫地杆扣5-</w:t>
            </w:r>
            <w:r>
              <w:rPr>
                <w:rFonts w:hint="eastAsia" w:ascii="宋体" w:hAnsi="宋体" w:eastAsia="宋体"/>
                <w:bCs/>
                <w:szCs w:val="21"/>
                <w:lang w:val="en-US" w:eastAsia="zh-CN"/>
              </w:rPr>
              <w:t>10</w:t>
            </w:r>
            <w:r>
              <w:rPr>
                <w:rFonts w:hint="eastAsia" w:ascii="宋体" w:hAnsi="宋体" w:eastAsia="宋体"/>
                <w:bCs/>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7"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悬挑钢梁</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钢梁固定段长度小于悬挑段长度的1.25倍，扣10-15分；</w:t>
            </w:r>
          </w:p>
          <w:p>
            <w:pPr>
              <w:rPr>
                <w:rFonts w:hint="eastAsia" w:ascii="宋体" w:hAnsi="宋体" w:eastAsia="宋体"/>
                <w:bCs/>
                <w:szCs w:val="21"/>
              </w:rPr>
            </w:pPr>
            <w:r>
              <w:rPr>
                <w:rFonts w:hint="eastAsia" w:ascii="宋体" w:hAnsi="宋体" w:eastAsia="宋体"/>
                <w:bCs/>
                <w:szCs w:val="21"/>
              </w:rPr>
              <w:t>钢梁外端未设置钢丝绳或钢拉杆与上一层建筑结构拉结，每处扣2分；</w:t>
            </w:r>
          </w:p>
          <w:p>
            <w:pPr>
              <w:rPr>
                <w:rFonts w:hint="eastAsia" w:ascii="宋体" w:hAnsi="宋体" w:eastAsia="宋体"/>
                <w:bCs/>
                <w:szCs w:val="21"/>
              </w:rPr>
            </w:pPr>
            <w:r>
              <w:rPr>
                <w:rFonts w:hint="eastAsia" w:ascii="宋体" w:hAnsi="宋体" w:eastAsia="宋体"/>
                <w:bCs/>
                <w:szCs w:val="21"/>
              </w:rPr>
              <w:t>钢梁与建筑结构锚固措施不符合规范要求，每处扣10分；</w:t>
            </w:r>
          </w:p>
          <w:p>
            <w:pPr>
              <w:rPr>
                <w:rFonts w:hint="eastAsia" w:ascii="宋体" w:hAnsi="宋体" w:eastAsia="宋体"/>
                <w:bCs/>
                <w:szCs w:val="21"/>
              </w:rPr>
            </w:pPr>
            <w:r>
              <w:rPr>
                <w:rFonts w:hint="eastAsia" w:ascii="宋体" w:hAnsi="宋体" w:eastAsia="宋体"/>
                <w:bCs/>
                <w:szCs w:val="21"/>
              </w:rPr>
              <w:t>悬挑钢梁间距未按悬挑架架体立杆纵距设置或悬挑钢梁间距与立杆纵距不相对应时未设置联梁，扣10分。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3</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架体稳定</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未按规范及方案要求设置斜撑、拉杆，扣5-8分；</w:t>
            </w:r>
          </w:p>
          <w:p>
            <w:pPr>
              <w:rPr>
                <w:rFonts w:hint="eastAsia" w:ascii="宋体" w:hAnsi="宋体" w:eastAsia="宋体"/>
                <w:bCs/>
                <w:szCs w:val="21"/>
              </w:rPr>
            </w:pPr>
            <w:r>
              <w:rPr>
                <w:rFonts w:hint="eastAsia" w:ascii="宋体" w:hAnsi="宋体" w:eastAsia="宋体"/>
                <w:bCs/>
                <w:szCs w:val="21"/>
              </w:rPr>
              <w:t>竖向斜杆两端未固定在纵、横向水平杆与立杆汇交的盘扣结点处，每处扣2分；</w:t>
            </w:r>
          </w:p>
          <w:p>
            <w:pPr>
              <w:rPr>
                <w:rFonts w:hint="eastAsia" w:ascii="宋体" w:hAnsi="宋体" w:eastAsia="宋体"/>
                <w:bCs/>
                <w:szCs w:val="21"/>
              </w:rPr>
            </w:pPr>
            <w:r>
              <w:rPr>
                <w:rFonts w:hint="eastAsia" w:ascii="宋体" w:hAnsi="宋体" w:eastAsia="宋体"/>
                <w:bCs/>
                <w:szCs w:val="21"/>
              </w:rPr>
              <w:t>悬挑脚手架立杆底部与钢梁连接处未设置可靠固定措施，每处扣2分；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4</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架体构造</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立杆、水平杆间距超过规范及方案要求，每处扣2分；</w:t>
            </w:r>
          </w:p>
          <w:p>
            <w:pPr>
              <w:rPr>
                <w:rFonts w:hint="eastAsia" w:ascii="宋体" w:hAnsi="宋体" w:eastAsia="宋体"/>
                <w:bCs/>
                <w:szCs w:val="21"/>
              </w:rPr>
            </w:pPr>
            <w:r>
              <w:rPr>
                <w:rFonts w:hint="eastAsia" w:ascii="宋体" w:hAnsi="宋体" w:eastAsia="宋体"/>
                <w:bCs/>
                <w:szCs w:val="21"/>
              </w:rPr>
              <w:t>立杆、水平杆、剪刀撑接长不符合规范要求，每处扣2分；</w:t>
            </w:r>
          </w:p>
          <w:p>
            <w:pPr>
              <w:rPr>
                <w:rFonts w:hint="eastAsia" w:ascii="宋体" w:hAnsi="宋体" w:eastAsia="宋体"/>
                <w:bCs/>
                <w:szCs w:val="21"/>
              </w:rPr>
            </w:pPr>
            <w:r>
              <w:rPr>
                <w:rFonts w:hint="eastAsia" w:ascii="宋体" w:hAnsi="宋体" w:eastAsia="宋体"/>
                <w:bCs/>
                <w:szCs w:val="21"/>
              </w:rPr>
              <w:t>剪刀撑斜杆与架体杆件固定不符合规范要求，每处扣2分；</w:t>
            </w:r>
          </w:p>
          <w:p>
            <w:pPr>
              <w:rPr>
                <w:rFonts w:hint="eastAsia" w:ascii="宋体" w:hAnsi="宋体" w:eastAsia="宋体"/>
                <w:bCs/>
                <w:szCs w:val="21"/>
              </w:rPr>
            </w:pPr>
            <w:r>
              <w:rPr>
                <w:rFonts w:hint="eastAsia" w:ascii="宋体" w:hAnsi="宋体" w:eastAsia="宋体"/>
                <w:bCs/>
                <w:szCs w:val="21"/>
              </w:rPr>
              <w:t>未在立杆与纵向水平杆交点处设置横向水平杆，每处扣2分；</w:t>
            </w:r>
          </w:p>
          <w:p>
            <w:pPr>
              <w:rPr>
                <w:rFonts w:hint="eastAsia" w:ascii="宋体" w:hAnsi="宋体" w:eastAsia="宋体"/>
                <w:bCs/>
                <w:szCs w:val="21"/>
              </w:rPr>
            </w:pPr>
            <w:r>
              <w:rPr>
                <w:rFonts w:hint="eastAsia" w:ascii="宋体" w:hAnsi="宋体" w:eastAsia="宋体"/>
                <w:bCs/>
                <w:szCs w:val="21"/>
              </w:rPr>
              <w:t>脚手板规格、材质不符合要求，扣5-8分；</w:t>
            </w:r>
          </w:p>
          <w:p>
            <w:pPr>
              <w:rPr>
                <w:rFonts w:hint="eastAsia" w:ascii="宋体" w:hAnsi="宋体" w:eastAsia="宋体"/>
                <w:bCs/>
                <w:szCs w:val="21"/>
              </w:rPr>
            </w:pPr>
            <w:r>
              <w:rPr>
                <w:rFonts w:hint="eastAsia" w:ascii="宋体" w:hAnsi="宋体" w:eastAsia="宋体"/>
                <w:bCs/>
                <w:szCs w:val="21"/>
              </w:rPr>
              <w:t>脚手板未满铺或铺设不严、不牢、不稳，每处扣2分。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5</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color w:val="000000" w:themeColor="text1"/>
                <w:highlight w:val="none"/>
                <w14:textFill>
                  <w14:solidFill>
                    <w14:schemeClr w14:val="tx1"/>
                  </w14:solidFill>
                </w14:textFill>
              </w:rPr>
              <w:t>架体</w:t>
            </w:r>
            <w:r>
              <w:rPr>
                <w:rFonts w:hint="eastAsia" w:ascii="宋体" w:hAnsi="宋体" w:eastAsia="宋体"/>
                <w:bCs/>
                <w:szCs w:val="21"/>
              </w:rPr>
              <w:t>荷载</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施工荷载堆放不均匀，每处扣5分；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6</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验收</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未记录量化的验收内容，扣5</w:t>
            </w:r>
            <w:r>
              <w:rPr>
                <w:rFonts w:hint="eastAsia" w:ascii="宋体" w:hAnsi="宋体" w:eastAsia="宋体"/>
                <w:bCs/>
                <w:szCs w:val="21"/>
                <w:lang w:val="en-US" w:eastAsia="zh-CN"/>
              </w:rPr>
              <w:t>-10</w:t>
            </w:r>
            <w:r>
              <w:rPr>
                <w:rFonts w:hint="eastAsia" w:ascii="宋体" w:hAnsi="宋体" w:eastAsia="宋体"/>
                <w:bCs/>
                <w:szCs w:val="21"/>
              </w:rPr>
              <w:t>分；</w:t>
            </w:r>
          </w:p>
          <w:p>
            <w:pPr>
              <w:rPr>
                <w:rFonts w:hint="eastAsia" w:ascii="宋体" w:hAnsi="宋体" w:eastAsia="宋体"/>
                <w:bCs/>
                <w:szCs w:val="21"/>
              </w:rPr>
            </w:pPr>
            <w:r>
              <w:rPr>
                <w:rFonts w:hint="eastAsia" w:ascii="宋体" w:hAnsi="宋体" w:eastAsia="宋体"/>
                <w:bCs/>
                <w:szCs w:val="21"/>
              </w:rPr>
              <w:t>交底无针对性的，扣5-8分；</w:t>
            </w:r>
          </w:p>
          <w:p>
            <w:pPr>
              <w:rPr>
                <w:rFonts w:hint="eastAsia" w:ascii="宋体" w:hAnsi="宋体" w:eastAsia="宋体"/>
                <w:bCs/>
                <w:szCs w:val="21"/>
              </w:rPr>
            </w:pPr>
            <w:r>
              <w:rPr>
                <w:rFonts w:hint="eastAsia" w:ascii="宋体" w:hAnsi="宋体" w:eastAsia="宋体"/>
                <w:bCs/>
                <w:szCs w:val="21"/>
              </w:rPr>
              <w:t>责任人未签字确认，扣5分；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bookmarkStart w:id="0" w:name="_GoBack"/>
            <w:r>
              <w:rPr>
                <w:rFonts w:hint="eastAsia" w:ascii="宋体" w:hAnsi="宋体" w:eastAsia="宋体"/>
                <w:bCs/>
                <w:szCs w:val="21"/>
                <w:highlight w:val="none"/>
              </w:rPr>
              <w:t>7</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架体防护</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架体外侧未采用密目式安全网封闭或网间不严，扣5-</w:t>
            </w:r>
            <w:r>
              <w:rPr>
                <w:rFonts w:hint="eastAsia" w:ascii="宋体" w:hAnsi="宋体" w:eastAsia="宋体"/>
                <w:bCs/>
                <w:szCs w:val="21"/>
                <w:highlight w:val="none"/>
                <w:lang w:val="en-US" w:eastAsia="zh-CN"/>
              </w:rPr>
              <w:t>10</w:t>
            </w:r>
            <w:r>
              <w:rPr>
                <w:rFonts w:hint="eastAsia" w:ascii="宋体" w:hAnsi="宋体" w:eastAsia="宋体"/>
                <w:bCs/>
                <w:szCs w:val="21"/>
                <w:highlight w:val="none"/>
              </w:rPr>
              <w:t>分；</w:t>
            </w:r>
          </w:p>
          <w:p>
            <w:pPr>
              <w:rPr>
                <w:rFonts w:hint="eastAsia" w:ascii="宋体" w:hAnsi="宋体" w:eastAsia="宋体"/>
                <w:bCs/>
                <w:szCs w:val="21"/>
                <w:highlight w:val="none"/>
              </w:rPr>
            </w:pPr>
            <w:r>
              <w:rPr>
                <w:rFonts w:hint="eastAsia" w:ascii="宋体" w:hAnsi="宋体" w:eastAsia="宋体"/>
                <w:bCs/>
                <w:szCs w:val="21"/>
                <w:highlight w:val="none"/>
              </w:rPr>
              <w:t>作业层未用安全平网双层兜底，且以下</w:t>
            </w:r>
            <w:r>
              <w:rPr>
                <w:rFonts w:hint="eastAsia" w:ascii="宋体" w:hAnsi="宋体" w:eastAsia="宋体" w:cs="宋体"/>
                <w:color w:val="000000"/>
                <w:kern w:val="0"/>
                <w:sz w:val="21"/>
                <w:szCs w:val="21"/>
                <w:highlight w:val="none"/>
                <w:lang w:val="en-US" w:eastAsia="zh" w:bidi="ar"/>
              </w:rPr>
              <w:t>每三层或高度不大于10m</w:t>
            </w:r>
            <w:r>
              <w:rPr>
                <w:rFonts w:hint="eastAsia" w:ascii="宋体" w:hAnsi="宋体" w:eastAsia="宋体"/>
                <w:bCs/>
                <w:szCs w:val="21"/>
                <w:highlight w:val="none"/>
              </w:rPr>
              <w:t>未用安全平网封闭，扣</w:t>
            </w:r>
            <w:r>
              <w:rPr>
                <w:rFonts w:hint="eastAsia" w:ascii="宋体" w:hAnsi="宋体" w:eastAsia="宋体"/>
                <w:bCs/>
                <w:szCs w:val="21"/>
                <w:highlight w:val="none"/>
                <w:lang w:val="en-US" w:eastAsia="zh-CN"/>
              </w:rPr>
              <w:t>5-10</w:t>
            </w:r>
            <w:r>
              <w:rPr>
                <w:rFonts w:hint="eastAsia" w:ascii="宋体" w:hAnsi="宋体" w:eastAsia="宋体"/>
                <w:bCs/>
                <w:szCs w:val="21"/>
                <w:highlight w:val="none"/>
              </w:rPr>
              <w:t>分；</w:t>
            </w:r>
          </w:p>
          <w:p>
            <w:pPr>
              <w:rPr>
                <w:rFonts w:hint="eastAsia" w:ascii="宋体" w:hAnsi="宋体" w:eastAsia="宋体"/>
                <w:bCs/>
                <w:szCs w:val="21"/>
                <w:highlight w:val="none"/>
              </w:rPr>
            </w:pPr>
            <w:r>
              <w:rPr>
                <w:rFonts w:hint="eastAsia" w:ascii="宋体" w:hAnsi="宋体" w:eastAsia="宋体"/>
                <w:bCs/>
                <w:szCs w:val="21"/>
                <w:highlight w:val="none"/>
              </w:rPr>
              <w:t>作业层外侧未在高度1.2m和0.6m处设置上、中两道防护栏杆，扣5分；</w:t>
            </w:r>
          </w:p>
          <w:p>
            <w:pPr>
              <w:rPr>
                <w:rFonts w:hint="eastAsia" w:ascii="宋体" w:hAnsi="宋体" w:eastAsia="宋体"/>
                <w:bCs/>
                <w:szCs w:val="21"/>
                <w:highlight w:val="none"/>
              </w:rPr>
            </w:pPr>
            <w:r>
              <w:rPr>
                <w:rFonts w:hint="eastAsia" w:ascii="宋体" w:hAnsi="宋体" w:eastAsia="宋体"/>
                <w:bCs/>
                <w:szCs w:val="21"/>
                <w:highlight w:val="none"/>
              </w:rPr>
              <w:t>作业层未设置高度不小于180mm的挡脚板，扣5-</w:t>
            </w:r>
            <w:r>
              <w:rPr>
                <w:rFonts w:hint="eastAsia" w:ascii="宋体" w:hAnsi="宋体" w:eastAsia="宋体"/>
                <w:bCs/>
                <w:szCs w:val="21"/>
                <w:highlight w:val="none"/>
                <w:lang w:val="en-US" w:eastAsia="zh-CN"/>
              </w:rPr>
              <w:t>10</w:t>
            </w:r>
            <w:r>
              <w:rPr>
                <w:rFonts w:hint="eastAsia" w:ascii="宋体" w:hAnsi="宋体" w:eastAsia="宋体"/>
                <w:bCs/>
                <w:szCs w:val="21"/>
                <w:highlight w:val="none"/>
              </w:rPr>
              <w:t>分；</w:t>
            </w:r>
          </w:p>
          <w:p>
            <w:pPr>
              <w:rPr>
                <w:rFonts w:hint="eastAsia" w:ascii="宋体" w:hAnsi="宋体" w:eastAsia="宋体"/>
                <w:bCs/>
                <w:szCs w:val="21"/>
                <w:highlight w:val="none"/>
              </w:rPr>
            </w:pPr>
            <w:r>
              <w:rPr>
                <w:rFonts w:hint="eastAsia" w:ascii="宋体" w:hAnsi="宋体" w:eastAsia="宋体"/>
                <w:bCs/>
                <w:szCs w:val="21"/>
                <w:highlight w:val="none"/>
              </w:rPr>
              <w:t>架体底层沿建筑结构边缘在悬挑钢梁与悬挑钢梁之间未采取措施封闭，扣</w:t>
            </w:r>
            <w:r>
              <w:rPr>
                <w:rFonts w:hint="eastAsia" w:ascii="宋体" w:hAnsi="宋体" w:eastAsia="宋体"/>
                <w:bCs/>
                <w:szCs w:val="21"/>
                <w:highlight w:val="none"/>
                <w:lang w:val="en-US" w:eastAsia="zh-CN"/>
              </w:rPr>
              <w:t>5-10</w:t>
            </w:r>
            <w:r>
              <w:rPr>
                <w:rFonts w:hint="eastAsia" w:ascii="宋体" w:hAnsi="宋体" w:eastAsia="宋体"/>
                <w:bCs/>
                <w:szCs w:val="21"/>
                <w:highlight w:val="none"/>
              </w:rPr>
              <w:t>分；</w:t>
            </w:r>
          </w:p>
          <w:p>
            <w:pPr>
              <w:rPr>
                <w:rFonts w:hint="eastAsia" w:ascii="宋体" w:hAnsi="宋体" w:eastAsia="宋体"/>
                <w:bCs/>
                <w:szCs w:val="21"/>
                <w:highlight w:val="none"/>
              </w:rPr>
            </w:pPr>
            <w:r>
              <w:rPr>
                <w:rFonts w:hint="eastAsia" w:ascii="宋体" w:hAnsi="宋体" w:eastAsia="宋体"/>
                <w:bCs/>
                <w:szCs w:val="21"/>
                <w:highlight w:val="none"/>
              </w:rPr>
              <w:t>架体底层封闭不严密的，扣</w:t>
            </w:r>
            <w:r>
              <w:rPr>
                <w:rFonts w:hint="eastAsia" w:ascii="宋体" w:hAnsi="宋体" w:eastAsia="宋体"/>
                <w:bCs/>
                <w:szCs w:val="21"/>
                <w:highlight w:val="none"/>
                <w:lang w:val="en-US" w:eastAsia="zh-CN"/>
              </w:rPr>
              <w:t>5</w:t>
            </w:r>
            <w:r>
              <w:rPr>
                <w:rFonts w:hint="eastAsia" w:ascii="宋体" w:hAnsi="宋体" w:eastAsia="宋体"/>
                <w:bCs/>
                <w:szCs w:val="21"/>
                <w:highlight w:val="none"/>
              </w:rPr>
              <w:t>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8</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构配件材质</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配件进场后，未按规范委托第三方检测机构进行检测，扣10分；</w:t>
            </w:r>
          </w:p>
          <w:p>
            <w:pPr>
              <w:rPr>
                <w:rFonts w:hint="eastAsia" w:ascii="宋体" w:hAnsi="宋体" w:eastAsia="宋体"/>
                <w:bCs/>
                <w:szCs w:val="21"/>
                <w:highlight w:val="none"/>
              </w:rPr>
            </w:pPr>
            <w:r>
              <w:rPr>
                <w:rFonts w:hint="eastAsia" w:ascii="宋体" w:hAnsi="宋体" w:eastAsia="宋体"/>
                <w:bCs/>
                <w:szCs w:val="21"/>
                <w:highlight w:val="none"/>
              </w:rPr>
              <w:t>杆件和构配件未配套使用，不满足组架方式及构造要求，扣10分；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9</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通道</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未设置人员上下专用通道，扣10分；</w:t>
            </w:r>
          </w:p>
          <w:p>
            <w:pPr>
              <w:rPr>
                <w:rFonts w:hint="eastAsia" w:ascii="宋体" w:hAnsi="宋体" w:eastAsia="宋体"/>
                <w:bCs/>
                <w:szCs w:val="21"/>
                <w:highlight w:val="none"/>
              </w:rPr>
            </w:pPr>
            <w:r>
              <w:rPr>
                <w:rFonts w:hint="eastAsia" w:ascii="宋体" w:hAnsi="宋体" w:eastAsia="宋体"/>
                <w:bCs/>
                <w:szCs w:val="21"/>
                <w:highlight w:val="none"/>
              </w:rPr>
              <w:t>通道设置不符合要求，扣10分。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r>
              <w:rPr>
                <w:rFonts w:hint="eastAsia" w:ascii="宋体" w:hAnsi="宋体" w:eastAsia="宋体"/>
                <w:bCs/>
                <w:szCs w:val="21"/>
                <w:highlight w:val="none"/>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highlight w:val="none"/>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7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评价项目合计</w:t>
            </w:r>
          </w:p>
        </w:tc>
        <w:tc>
          <w:tcPr>
            <w:tcW w:w="49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bl>
    <w:p>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34CA4"/>
    <w:rsid w:val="002B3986"/>
    <w:rsid w:val="00407F9E"/>
    <w:rsid w:val="00457169"/>
    <w:rsid w:val="00790020"/>
    <w:rsid w:val="00AC7E4B"/>
    <w:rsid w:val="00AF2F1D"/>
    <w:rsid w:val="00C04055"/>
    <w:rsid w:val="00C81323"/>
    <w:rsid w:val="01781EED"/>
    <w:rsid w:val="17E935AE"/>
    <w:rsid w:val="1C6144CF"/>
    <w:rsid w:val="218C362C"/>
    <w:rsid w:val="29DB2BB8"/>
    <w:rsid w:val="2EEC6363"/>
    <w:rsid w:val="3FDE2625"/>
    <w:rsid w:val="40805B92"/>
    <w:rsid w:val="43227877"/>
    <w:rsid w:val="584D689F"/>
    <w:rsid w:val="5D11455E"/>
    <w:rsid w:val="615E2061"/>
    <w:rsid w:val="63757C18"/>
    <w:rsid w:val="67F05CEC"/>
    <w:rsid w:val="6DB16AC8"/>
    <w:rsid w:val="78463B46"/>
    <w:rsid w:val="7D946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1211</Words>
  <Characters>1272</Characters>
  <Lines>97</Lines>
  <Paragraphs>95</Paragraphs>
  <TotalTime>3</TotalTime>
  <ScaleCrop>false</ScaleCrop>
  <LinksUpToDate>false</LinksUpToDate>
  <CharactersWithSpaces>1274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2025-05-02T03:06:00Z</dcterms:created>
  <dc:creator>航 吴</dc:creator>
  <cp:lastModifiedBy>39622</cp:lastModifiedBy>
  <dcterms:modified xsi:type="dcterms:W3CDTF">2025-06-02T08:35:58Z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eyJoZGlkIjoiYTYyMzRiZTdlNjJmOGNjYTUxZTI5OWVjNjBkYTJiMDgiLCJ1c2VySWQiOiI0ODQ4ODg3OTkifQ==</vt:lpwstr>
  </property>
  <property fmtid="{D5CDD505-2E9C-101B-9397-08002B2CF9AE}" pid="3" name="KSOProductBuildVer">
    <vt:lpwstr>2052-11.8.2.11718</vt:lpwstr>
  </property>
  <property fmtid="{D5CDD505-2E9C-101B-9397-08002B2CF9AE}" pid="4" name="ICV">
    <vt:lpwstr>BB9AD4846A424C63BDDF2620DBDFF18D_12</vt:lpwstr>
  </property>
</Properties>
</file>